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66" w:rsidRDefault="00247366" w:rsidP="0024736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eastAsia="es-VE"/>
        </w:rPr>
      </w:pPr>
      <w:r w:rsidRPr="0024736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eastAsia="es-VE"/>
        </w:rPr>
        <w:t>Orden Ejecutiva - Declaración de una emergencia nacional con respecto a Venezuela</w:t>
      </w:r>
    </w:p>
    <w:p w:rsidR="00247366" w:rsidRPr="00247366" w:rsidRDefault="00247366" w:rsidP="0024736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eastAsia="es-VE"/>
        </w:rPr>
      </w:pPr>
    </w:p>
    <w:p w:rsidR="00247366" w:rsidRPr="00247366" w:rsidRDefault="00247366" w:rsidP="00247366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es-VE"/>
        </w:rPr>
      </w:pPr>
      <w:r w:rsidRPr="00247366">
        <w:rPr>
          <w:rFonts w:ascii="Arial" w:eastAsia="Times New Roman" w:hAnsi="Arial" w:cs="Arial"/>
          <w:b/>
          <w:color w:val="333333"/>
          <w:sz w:val="24"/>
          <w:szCs w:val="24"/>
          <w:lang w:eastAsia="es-VE"/>
        </w:rPr>
        <w:t>DECRETO</w:t>
      </w:r>
    </w:p>
    <w:p w:rsidR="00247366" w:rsidRDefault="00247366" w:rsidP="0024736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VE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                                                        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- - - - - - -</w:t>
      </w:r>
    </w:p>
    <w:p w:rsidR="00247366" w:rsidRPr="00247366" w:rsidRDefault="00247366" w:rsidP="0024736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VE"/>
        </w:rPr>
      </w:pPr>
    </w:p>
    <w:p w:rsidR="00247366" w:rsidRDefault="00247366" w:rsidP="0024736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es-VE"/>
        </w:rPr>
      </w:pP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BLOQUEO DE LA PROPIEDAD Y SUSPENSIÓN DE ENTRADA DE CIERTAS PERSONAS QUE CONTRIBUYEN A LA SITUACIÓN EN VENEZUELA</w:t>
      </w:r>
    </w:p>
    <w:p w:rsidR="00247366" w:rsidRDefault="00247366" w:rsidP="0024736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es-VE"/>
        </w:rPr>
      </w:pPr>
    </w:p>
    <w:p w:rsidR="00247366" w:rsidRPr="00247366" w:rsidRDefault="00247366" w:rsidP="0024736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es-VE"/>
        </w:rPr>
      </w:pPr>
    </w:p>
    <w:p w:rsidR="00247366" w:rsidRDefault="00247366" w:rsidP="0024736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VE"/>
        </w:rPr>
      </w:pP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Por la autoridad investida en mí como Presidente por la Constitución y las leyes de los Estados Unidos de América, </w:t>
      </w:r>
      <w:r w:rsidR="00B01C83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incluyendo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 la Ley Internacional de Poderes Económicos de Emergencia (50 USC 1701 </w:t>
      </w:r>
      <w:r w:rsidRPr="00247366">
        <w:rPr>
          <w:rFonts w:ascii="Arial" w:eastAsia="Times New Roman" w:hAnsi="Arial" w:cs="Arial"/>
          <w:i/>
          <w:iCs/>
          <w:color w:val="333333"/>
          <w:sz w:val="24"/>
          <w:szCs w:val="24"/>
          <w:lang w:eastAsia="es-VE"/>
        </w:rPr>
        <w:t>y ss.)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 (IEEPA), la Ley de Emergencia Nacional (50 USC 1601 </w:t>
      </w:r>
      <w:r w:rsidRPr="00247366">
        <w:rPr>
          <w:rFonts w:ascii="Arial" w:eastAsia="Times New Roman" w:hAnsi="Arial" w:cs="Arial"/>
          <w:i/>
          <w:iCs/>
          <w:color w:val="333333"/>
          <w:sz w:val="24"/>
          <w:szCs w:val="24"/>
          <w:lang w:eastAsia="es-VE"/>
        </w:rPr>
        <w:t xml:space="preserve">y </w:t>
      </w:r>
      <w:proofErr w:type="gramStart"/>
      <w:r w:rsidRPr="00247366">
        <w:rPr>
          <w:rFonts w:ascii="Arial" w:eastAsia="Times New Roman" w:hAnsi="Arial" w:cs="Arial"/>
          <w:i/>
          <w:iCs/>
          <w:color w:val="333333"/>
          <w:sz w:val="24"/>
          <w:szCs w:val="24"/>
          <w:lang w:eastAsia="es-VE"/>
        </w:rPr>
        <w:t>siguientes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 .)</w:t>
      </w:r>
      <w:proofErr w:type="gramEnd"/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 (NEA), la Ley de Defensa Derechos Humanos y Sociedad Civil de Venezuela de 2014 (Ley Pública</w:t>
      </w:r>
      <w:r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 113-278) (la 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Ley </w:t>
      </w:r>
      <w:r w:rsidR="00341B35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para la 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 Defensa</w:t>
      </w:r>
      <w:r w:rsidR="00341B35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 de los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 Derechos Humanos</w:t>
      </w:r>
      <w:r w:rsidR="00B40225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 de Venezuela</w:t>
      </w:r>
      <w:r>
        <w:rPr>
          <w:rFonts w:ascii="Arial" w:eastAsia="Times New Roman" w:hAnsi="Arial" w:cs="Arial"/>
          <w:color w:val="333333"/>
          <w:sz w:val="24"/>
          <w:szCs w:val="24"/>
          <w:lang w:eastAsia="es-VE"/>
        </w:rPr>
        <w:t>"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) (la "Ley"), la sección 212 (f) de la Ley de Inmigración y Nacionalidad de 1952 (8 USC 1182 (f)) (INA), y la sección 301 del título 3, Código de Estados Unidos,</w:t>
      </w:r>
    </w:p>
    <w:p w:rsidR="00B40225" w:rsidRPr="00247366" w:rsidRDefault="00B40225" w:rsidP="0024736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VE"/>
        </w:rPr>
      </w:pPr>
    </w:p>
    <w:p w:rsidR="00247366" w:rsidRDefault="00247366" w:rsidP="0024736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VE"/>
        </w:rPr>
      </w:pP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YO, BARACK OBAMA, Presidente de los Estados Unidos de América, </w:t>
      </w:r>
      <w:r w:rsidR="00B40225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encuentro que 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 la situación en Venezuela, incluyendo la erosión de las garantías de derechos humanos</w:t>
      </w:r>
      <w:r w:rsidR="00B40225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 por parte del Gobierno de Venezuela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, la persecución de los opositores políticos, restricción de la libertad de prensa, e</w:t>
      </w:r>
      <w:r w:rsidR="00B40225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l uso de la violencia y violacio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nes de los derechos h</w:t>
      </w:r>
      <w:r w:rsidR="00B40225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umanos y los abusos 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en respuesta a las protestas </w:t>
      </w:r>
      <w:r w:rsidR="00B40225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en 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contra </w:t>
      </w:r>
      <w:r w:rsidR="00B40225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del gobierno, 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el arresto y la detención </w:t>
      </w:r>
      <w:r w:rsidR="00B40225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arbitraria 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de manifestantes antigubernamentales,</w:t>
      </w:r>
      <w:r w:rsidR="00B40225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 así como la exacerbada</w:t>
      </w:r>
      <w:r w:rsidR="00341B35" w:rsidRPr="00341B35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 </w:t>
      </w:r>
      <w:r w:rsidR="00341B35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presencia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 de </w:t>
      </w:r>
      <w:r w:rsidR="00B40225"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significativa 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corrupción pública, que constituye una amenaza inusual y extraordinaria a la seguridad nacional y la política exterior de los Estados Unidos, </w:t>
      </w:r>
      <w:r w:rsidR="00341B35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 y por tanto </w:t>
      </w:r>
      <w:r w:rsidR="00B40225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declaro una emergencia nacional 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 para hacer frente a esa amenaza. Dispongo:</w:t>
      </w:r>
    </w:p>
    <w:p w:rsidR="00B40225" w:rsidRPr="00247366" w:rsidRDefault="00B40225" w:rsidP="0024736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VE"/>
        </w:rPr>
      </w:pPr>
    </w:p>
    <w:p w:rsidR="00247366" w:rsidRDefault="00247366" w:rsidP="0024736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VE"/>
        </w:rPr>
      </w:pPr>
      <w:r w:rsidRPr="00247366">
        <w:rPr>
          <w:rFonts w:ascii="Arial" w:eastAsia="Times New Roman" w:hAnsi="Arial" w:cs="Arial"/>
          <w:color w:val="333333"/>
          <w:sz w:val="24"/>
          <w:szCs w:val="24"/>
          <w:u w:val="single"/>
          <w:lang w:eastAsia="es-VE"/>
        </w:rPr>
        <w:t>Sección 1.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 (a) Todos los bienes e intereses en propiedades que están en los Estados Unidos,</w:t>
      </w:r>
      <w:r w:rsidR="00B40225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 y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 que </w:t>
      </w:r>
      <w:r w:rsidR="00B40225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de 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ahora en adelante </w:t>
      </w:r>
      <w:r w:rsidR="00B40225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estén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 dentro de los Estados Unidos, o que están o en el futuro </w:t>
      </w:r>
      <w:r w:rsidR="00B40225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estén 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dentro de la posesión o control de cualquier persona de los Estados Unidos de las siguientes personas están bloqueados y no podrán ser transferidos, pagados, exportados, retirados, o tratado de </w:t>
      </w:r>
      <w:r w:rsidR="00400E57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cualquier 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otra manera en:</w:t>
      </w:r>
    </w:p>
    <w:p w:rsidR="00400E57" w:rsidRPr="00247366" w:rsidRDefault="00400E57" w:rsidP="0024736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VE"/>
        </w:rPr>
      </w:pPr>
    </w:p>
    <w:p w:rsidR="00247366" w:rsidRPr="00247366" w:rsidRDefault="00247366" w:rsidP="00247366">
      <w:pPr>
        <w:spacing w:after="0" w:line="240" w:lineRule="auto"/>
        <w:ind w:left="554"/>
        <w:jc w:val="both"/>
        <w:rPr>
          <w:rFonts w:ascii="Arial" w:eastAsia="Times New Roman" w:hAnsi="Arial" w:cs="Arial"/>
          <w:color w:val="333333"/>
          <w:sz w:val="24"/>
          <w:szCs w:val="24"/>
          <w:lang w:eastAsia="es-VE"/>
        </w:rPr>
      </w:pP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(I) las personas enumeradas en el anexo </w:t>
      </w:r>
      <w:r w:rsidR="00341B35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del presente decreto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; y</w:t>
      </w:r>
    </w:p>
    <w:p w:rsidR="00247366" w:rsidRDefault="00247366" w:rsidP="00247366">
      <w:pPr>
        <w:spacing w:after="0" w:line="240" w:lineRule="auto"/>
        <w:ind w:left="554"/>
        <w:jc w:val="both"/>
        <w:rPr>
          <w:rFonts w:ascii="Arial" w:eastAsia="Times New Roman" w:hAnsi="Arial" w:cs="Arial"/>
          <w:color w:val="333333"/>
          <w:sz w:val="24"/>
          <w:szCs w:val="24"/>
          <w:lang w:eastAsia="es-VE"/>
        </w:rPr>
      </w:pP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(</w:t>
      </w:r>
      <w:proofErr w:type="spellStart"/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Ii</w:t>
      </w:r>
      <w:proofErr w:type="spellEnd"/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) cualquier persona que, según el Secretario de Hacienda, en consulta con el Secretario de Estado:</w:t>
      </w:r>
    </w:p>
    <w:p w:rsidR="00400E57" w:rsidRPr="00247366" w:rsidRDefault="00400E57" w:rsidP="00247366">
      <w:pPr>
        <w:spacing w:after="0" w:line="240" w:lineRule="auto"/>
        <w:ind w:left="554"/>
        <w:jc w:val="both"/>
        <w:rPr>
          <w:rFonts w:ascii="Arial" w:eastAsia="Times New Roman" w:hAnsi="Arial" w:cs="Arial"/>
          <w:color w:val="333333"/>
          <w:sz w:val="24"/>
          <w:szCs w:val="24"/>
          <w:lang w:eastAsia="es-VE"/>
        </w:rPr>
      </w:pPr>
    </w:p>
    <w:p w:rsidR="00247366" w:rsidRPr="00400E57" w:rsidRDefault="00247366" w:rsidP="00400E5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VE"/>
        </w:rPr>
      </w:pPr>
      <w:r w:rsidRPr="00400E57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sea responsable o cómplice de, o responsables de ordenar, controlar, o de </w:t>
      </w:r>
      <w:r w:rsidR="00400E57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dirigir, o de haber participado</w:t>
      </w:r>
      <w:r w:rsidRPr="00400E57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, directa o indirectamente, cualquiera de los siguientes</w:t>
      </w:r>
      <w:r w:rsidR="00400E57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 supuestos bien sea en Venezuela </w:t>
      </w:r>
      <w:r w:rsidRPr="00400E57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o en relación a Venezuela:</w:t>
      </w:r>
    </w:p>
    <w:p w:rsidR="00400E57" w:rsidRPr="00400E57" w:rsidRDefault="00400E57" w:rsidP="00400E57">
      <w:pPr>
        <w:pStyle w:val="Prrafodelista"/>
        <w:spacing w:after="0" w:line="240" w:lineRule="auto"/>
        <w:ind w:left="1603"/>
        <w:jc w:val="both"/>
        <w:rPr>
          <w:rFonts w:ascii="Arial" w:eastAsia="Times New Roman" w:hAnsi="Arial" w:cs="Arial"/>
          <w:color w:val="333333"/>
          <w:sz w:val="24"/>
          <w:szCs w:val="24"/>
          <w:lang w:eastAsia="es-VE"/>
        </w:rPr>
      </w:pPr>
    </w:p>
    <w:p w:rsidR="00247366" w:rsidRPr="00400E57" w:rsidRDefault="00247366" w:rsidP="00400E5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VE"/>
        </w:rPr>
      </w:pPr>
      <w:r w:rsidRPr="00400E57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acciones o políticas que socavan los procesos e instituciones democráticas; 2</w:t>
      </w:r>
    </w:p>
    <w:p w:rsidR="00400E57" w:rsidRPr="00400E57" w:rsidRDefault="00400E57" w:rsidP="00400E57">
      <w:pPr>
        <w:pStyle w:val="Prrafodelista"/>
        <w:spacing w:after="0" w:line="240" w:lineRule="auto"/>
        <w:ind w:left="1543"/>
        <w:jc w:val="both"/>
        <w:rPr>
          <w:rFonts w:ascii="Arial" w:eastAsia="Times New Roman" w:hAnsi="Arial" w:cs="Arial"/>
          <w:color w:val="333333"/>
          <w:sz w:val="24"/>
          <w:szCs w:val="24"/>
          <w:lang w:eastAsia="es-VE"/>
        </w:rPr>
      </w:pPr>
    </w:p>
    <w:p w:rsidR="00247366" w:rsidRPr="00400E57" w:rsidRDefault="00247366" w:rsidP="00400E5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VE"/>
        </w:rPr>
      </w:pPr>
      <w:r w:rsidRPr="00400E57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actos </w:t>
      </w:r>
      <w:r w:rsidR="00400E57" w:rsidRPr="00400E57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o conducta </w:t>
      </w:r>
      <w:r w:rsidRPr="00400E57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de violencia </w:t>
      </w:r>
      <w:r w:rsidR="00400E57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significativa</w:t>
      </w:r>
      <w:r w:rsidR="00400E57" w:rsidRPr="00400E57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 </w:t>
      </w:r>
      <w:r w:rsidR="00400E57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que constituyan</w:t>
      </w:r>
      <w:r w:rsidRPr="00400E57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 un grave abuso o violación de los derechos humanos, en particular contra las personas implicadas en las protestas antigubernamentales en Venezuela en o desde febrero 2014;</w:t>
      </w:r>
    </w:p>
    <w:p w:rsidR="00400E57" w:rsidRPr="00400E57" w:rsidRDefault="00400E57" w:rsidP="00400E57">
      <w:pPr>
        <w:pStyle w:val="Prrafodelista"/>
        <w:rPr>
          <w:rFonts w:ascii="Arial" w:eastAsia="Times New Roman" w:hAnsi="Arial" w:cs="Arial"/>
          <w:color w:val="333333"/>
          <w:sz w:val="24"/>
          <w:szCs w:val="24"/>
          <w:lang w:eastAsia="es-VE"/>
        </w:rPr>
      </w:pPr>
    </w:p>
    <w:p w:rsidR="00400E57" w:rsidRPr="00400E57" w:rsidRDefault="00400E57" w:rsidP="00400E57">
      <w:pPr>
        <w:pStyle w:val="Prrafodelista"/>
        <w:spacing w:after="0" w:line="240" w:lineRule="auto"/>
        <w:ind w:left="1543"/>
        <w:jc w:val="both"/>
        <w:rPr>
          <w:rFonts w:ascii="Arial" w:eastAsia="Times New Roman" w:hAnsi="Arial" w:cs="Arial"/>
          <w:color w:val="333333"/>
          <w:sz w:val="24"/>
          <w:szCs w:val="24"/>
          <w:lang w:eastAsia="es-VE"/>
        </w:rPr>
      </w:pPr>
    </w:p>
    <w:p w:rsidR="00247366" w:rsidRPr="00247366" w:rsidRDefault="00247366" w:rsidP="00247366">
      <w:pPr>
        <w:spacing w:after="0" w:line="240" w:lineRule="auto"/>
        <w:ind w:left="1108"/>
        <w:jc w:val="both"/>
        <w:rPr>
          <w:rFonts w:ascii="Arial" w:eastAsia="Times New Roman" w:hAnsi="Arial" w:cs="Arial"/>
          <w:color w:val="333333"/>
          <w:sz w:val="24"/>
          <w:szCs w:val="24"/>
          <w:lang w:eastAsia="es-VE"/>
        </w:rPr>
      </w:pP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(3) medidas que prohíben, limitar o penalizan el ejercicio de la libertad de expresión o de reunión pacífica; o</w:t>
      </w:r>
    </w:p>
    <w:p w:rsidR="00247366" w:rsidRDefault="00247366" w:rsidP="00247366">
      <w:pPr>
        <w:spacing w:after="0" w:line="240" w:lineRule="auto"/>
        <w:ind w:left="1108"/>
        <w:jc w:val="both"/>
        <w:rPr>
          <w:rFonts w:ascii="Arial" w:eastAsia="Times New Roman" w:hAnsi="Arial" w:cs="Arial"/>
          <w:color w:val="333333"/>
          <w:sz w:val="24"/>
          <w:szCs w:val="24"/>
          <w:lang w:eastAsia="es-VE"/>
        </w:rPr>
      </w:pP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lastRenderedPageBreak/>
        <w:t>(4) la corrupción pública por funcionarios de alto nivel en el Gobierno de Venezuela;</w:t>
      </w:r>
    </w:p>
    <w:p w:rsidR="00400E57" w:rsidRPr="00247366" w:rsidRDefault="00400E57" w:rsidP="00247366">
      <w:pPr>
        <w:spacing w:after="0" w:line="240" w:lineRule="auto"/>
        <w:ind w:left="1108"/>
        <w:jc w:val="both"/>
        <w:rPr>
          <w:rFonts w:ascii="Arial" w:eastAsia="Times New Roman" w:hAnsi="Arial" w:cs="Arial"/>
          <w:color w:val="333333"/>
          <w:sz w:val="24"/>
          <w:szCs w:val="24"/>
          <w:lang w:eastAsia="es-VE"/>
        </w:rPr>
      </w:pPr>
    </w:p>
    <w:p w:rsidR="00247366" w:rsidRDefault="00247366" w:rsidP="0024736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VE"/>
        </w:rPr>
      </w:pP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(B) </w:t>
      </w:r>
      <w:r w:rsidR="00400E57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S</w:t>
      </w:r>
      <w:r w:rsidR="00341B35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ea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 un líder actual o anterior de una entidad que tiene, o cuyos miembros </w:t>
      </w:r>
      <w:r w:rsidR="00341B35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estén involucrados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 en las actividades descritas en el inciso (a) (</w:t>
      </w:r>
      <w:proofErr w:type="spellStart"/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ii</w:t>
      </w:r>
      <w:proofErr w:type="spellEnd"/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) (A) de este artículo o de una entidad cuyos bienes e intereses en propiedad están bl</w:t>
      </w:r>
      <w:r w:rsidR="00341B35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oqueados en virtud de este decreto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;</w:t>
      </w:r>
    </w:p>
    <w:p w:rsidR="00400E57" w:rsidRPr="00247366" w:rsidRDefault="00400E57" w:rsidP="0024736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VE"/>
        </w:rPr>
      </w:pPr>
    </w:p>
    <w:p w:rsidR="00247366" w:rsidRDefault="00247366" w:rsidP="0024736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VE"/>
        </w:rPr>
      </w:pP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(C) </w:t>
      </w:r>
      <w:r w:rsidR="00341B35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Sea o haya</w:t>
      </w:r>
      <w:r w:rsidR="00D13CFC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 sido un funcionario del Gobierno de Venezuela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;</w:t>
      </w:r>
    </w:p>
    <w:p w:rsidR="00400E57" w:rsidRPr="00247366" w:rsidRDefault="00400E57" w:rsidP="0024736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VE"/>
        </w:rPr>
      </w:pPr>
    </w:p>
    <w:p w:rsidR="00247366" w:rsidRDefault="00247366" w:rsidP="0024736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VE"/>
        </w:rPr>
      </w:pP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(D) </w:t>
      </w:r>
      <w:r w:rsidR="00341B35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haber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 asistido materialmente, patrocinado o proporcionado apoyo financiero, material o tecnológico, o de bienes o servicios para o en apoyo de:</w:t>
      </w:r>
    </w:p>
    <w:p w:rsidR="00400E57" w:rsidRPr="00247366" w:rsidRDefault="00400E57" w:rsidP="0024736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VE"/>
        </w:rPr>
      </w:pPr>
    </w:p>
    <w:p w:rsidR="00247366" w:rsidRPr="00247366" w:rsidRDefault="00247366" w:rsidP="00247366">
      <w:pPr>
        <w:spacing w:after="0" w:line="240" w:lineRule="auto"/>
        <w:ind w:left="1108"/>
        <w:jc w:val="both"/>
        <w:rPr>
          <w:rFonts w:ascii="Arial" w:eastAsia="Times New Roman" w:hAnsi="Arial" w:cs="Arial"/>
          <w:color w:val="333333"/>
          <w:sz w:val="24"/>
          <w:szCs w:val="24"/>
          <w:lang w:eastAsia="es-VE"/>
        </w:rPr>
      </w:pP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(1) una persona cuyos bienes e intereses en propiedad están bl</w:t>
      </w:r>
      <w:r w:rsidR="00341B35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oqueados en virtud de este decreto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; o</w:t>
      </w:r>
    </w:p>
    <w:p w:rsidR="00247366" w:rsidRDefault="00247366" w:rsidP="00247366">
      <w:pPr>
        <w:spacing w:after="0" w:line="240" w:lineRule="auto"/>
        <w:ind w:left="1108"/>
        <w:jc w:val="both"/>
        <w:rPr>
          <w:rFonts w:ascii="Arial" w:eastAsia="Times New Roman" w:hAnsi="Arial" w:cs="Arial"/>
          <w:color w:val="333333"/>
          <w:sz w:val="24"/>
          <w:szCs w:val="24"/>
          <w:lang w:eastAsia="es-VE"/>
        </w:rPr>
      </w:pP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(2) </w:t>
      </w:r>
      <w:proofErr w:type="gramStart"/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una</w:t>
      </w:r>
      <w:proofErr w:type="gramEnd"/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 actividad descrita en el inciso (a) (</w:t>
      </w:r>
      <w:proofErr w:type="spellStart"/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ii</w:t>
      </w:r>
      <w:proofErr w:type="spellEnd"/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) (A) de esta sección; o</w:t>
      </w:r>
    </w:p>
    <w:p w:rsidR="00400E57" w:rsidRPr="00247366" w:rsidRDefault="00400E57" w:rsidP="00247366">
      <w:pPr>
        <w:spacing w:after="0" w:line="240" w:lineRule="auto"/>
        <w:ind w:left="1108"/>
        <w:jc w:val="both"/>
        <w:rPr>
          <w:rFonts w:ascii="Arial" w:eastAsia="Times New Roman" w:hAnsi="Arial" w:cs="Arial"/>
          <w:color w:val="333333"/>
          <w:sz w:val="24"/>
          <w:szCs w:val="24"/>
          <w:lang w:eastAsia="es-VE"/>
        </w:rPr>
      </w:pPr>
    </w:p>
    <w:p w:rsidR="00247366" w:rsidRDefault="00D13CFC" w:rsidP="0024736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VE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VE"/>
        </w:rPr>
        <w:t>(E) Q</w:t>
      </w:r>
      <w:r w:rsidR="00247366"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ue sea propiedad o esté controlada por, o para haber actuado o tuvieran por objeto actuar </w:t>
      </w:r>
      <w:r>
        <w:rPr>
          <w:rFonts w:ascii="Arial" w:eastAsia="Times New Roman" w:hAnsi="Arial" w:cs="Arial"/>
          <w:color w:val="333333"/>
          <w:sz w:val="24"/>
          <w:szCs w:val="24"/>
          <w:lang w:eastAsia="es-VE"/>
        </w:rPr>
        <w:t>directa o indirectamente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 </w:t>
      </w:r>
      <w:r w:rsidR="00247366"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para o en nombre</w:t>
      </w:r>
      <w:r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 de,</w:t>
      </w:r>
      <w:r w:rsidR="00247366"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 cualquier persona cuya propiedad e intereses en propiedad es</w:t>
      </w:r>
      <w:r w:rsidR="00C2623F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tán bloqueados en virtud de este decreto</w:t>
      </w:r>
      <w:r w:rsidR="00247366"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.</w:t>
      </w:r>
    </w:p>
    <w:p w:rsidR="00400E57" w:rsidRPr="00247366" w:rsidRDefault="00400E57" w:rsidP="0024736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VE"/>
        </w:rPr>
      </w:pPr>
    </w:p>
    <w:p w:rsidR="00247366" w:rsidRDefault="00D13CFC" w:rsidP="0024736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VE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VE"/>
        </w:rPr>
        <w:t>(b</w:t>
      </w:r>
      <w:r w:rsidR="00247366"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) Las prohibiciones establecidas en el inciso (a) de esta sección se aplican, </w:t>
      </w:r>
      <w:r w:rsidR="00C2623F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excepto en la extensión</w:t>
      </w:r>
      <w:r w:rsidR="00247366"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 prevista por los estatutos o en los reglamentos, órdenes, directivas o licencias que s</w:t>
      </w:r>
      <w:r w:rsidR="00C2623F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e emitan en virtud de este decreto</w:t>
      </w:r>
      <w:r w:rsidR="00247366"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, y sin perjuicio de cualquier contrato cele</w:t>
      </w:r>
      <w:r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brado, </w:t>
      </w:r>
      <w:r w:rsidR="00247366"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licencia o permiso concedido con anteriorida</w:t>
      </w:r>
      <w:r w:rsidR="00C2623F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d a la fecha de vigencia de este decreto</w:t>
      </w:r>
      <w:r w:rsidR="00247366"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.</w:t>
      </w:r>
    </w:p>
    <w:p w:rsidR="00400E57" w:rsidRPr="00247366" w:rsidRDefault="00400E57" w:rsidP="0024736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VE"/>
        </w:rPr>
      </w:pPr>
    </w:p>
    <w:p w:rsidR="00247366" w:rsidRDefault="00247366" w:rsidP="0024736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VE"/>
        </w:rPr>
      </w:pPr>
      <w:r w:rsidRPr="00247366">
        <w:rPr>
          <w:rFonts w:ascii="Arial" w:eastAsia="Times New Roman" w:hAnsi="Arial" w:cs="Arial"/>
          <w:color w:val="333333"/>
          <w:sz w:val="24"/>
          <w:szCs w:val="24"/>
          <w:u w:val="single"/>
          <w:lang w:eastAsia="es-VE"/>
        </w:rPr>
        <w:t>Sec.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 </w:t>
      </w:r>
      <w:r w:rsidRPr="00247366">
        <w:rPr>
          <w:rFonts w:ascii="Arial" w:eastAsia="Times New Roman" w:hAnsi="Arial" w:cs="Arial"/>
          <w:color w:val="333333"/>
          <w:sz w:val="24"/>
          <w:szCs w:val="24"/>
          <w:u w:val="single"/>
          <w:lang w:eastAsia="es-VE"/>
        </w:rPr>
        <w:t>2.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 </w:t>
      </w:r>
      <w:r w:rsidR="00313539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Declaro</w:t>
      </w:r>
      <w:r w:rsidR="00D13CFC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, </w:t>
      </w:r>
      <w:r w:rsidR="00313539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que la entrada sin restricción del inmigrante y no inmigrante 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a los Estados Unidos de los extranjeros </w:t>
      </w:r>
      <w:r w:rsidR="00D13CFC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que cumplan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 con uno o más de los criterios enunciados </w:t>
      </w:r>
      <w:r w:rsidR="00313539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en el inciso 1 (a) de esta declaración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 sería perjudicial para los intereses de </w:t>
      </w:r>
      <w:r w:rsidR="00313539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los 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Estados Un</w:t>
      </w:r>
      <w:r w:rsidR="00D13CFC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idos, y por este medio suspendo su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 ent</w:t>
      </w:r>
      <w:r w:rsidR="00313539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rada en los Estados Unidos, tanto a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 </w:t>
      </w:r>
      <w:r w:rsidR="00313539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inmigrantes y no inmigrantes, a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 estas personas, salvo cuando el Secretario de Estad</w:t>
      </w:r>
      <w:r w:rsidR="004834F4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o determine que el ingreso de esa persona es de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 interés nacional de los Estados Unidos. Esta sección </w:t>
      </w:r>
      <w:r w:rsidR="004834F4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no 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aplica</w:t>
      </w:r>
      <w:r w:rsidR="004834F4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rá a un extranjero si admitir al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 extranjero en los Estados Unidos es necesaria para permitir que los Estados Unidos </w:t>
      </w:r>
      <w:r w:rsidR="004834F4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cumpla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 con el Acuerdo relativo a la Sede de las Naciones Unidas, firmado en Lake </w:t>
      </w:r>
      <w:proofErr w:type="spellStart"/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Success</w:t>
      </w:r>
      <w:proofErr w:type="spellEnd"/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 26 de junio 1947, y entró en vigor noviembre 21, de 1947, o de otras obligaciones internacionales aplicables. 3</w:t>
      </w:r>
    </w:p>
    <w:p w:rsidR="00400E57" w:rsidRPr="00247366" w:rsidRDefault="00400E57" w:rsidP="0024736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VE"/>
        </w:rPr>
      </w:pPr>
    </w:p>
    <w:p w:rsidR="00247366" w:rsidRDefault="00247366" w:rsidP="0024736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VE"/>
        </w:rPr>
      </w:pPr>
      <w:r w:rsidRPr="00247366">
        <w:rPr>
          <w:rFonts w:ascii="Arial" w:eastAsia="Times New Roman" w:hAnsi="Arial" w:cs="Arial"/>
          <w:color w:val="333333"/>
          <w:sz w:val="24"/>
          <w:szCs w:val="24"/>
          <w:u w:val="single"/>
          <w:lang w:eastAsia="es-VE"/>
        </w:rPr>
        <w:t>Sec.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 </w:t>
      </w:r>
      <w:r w:rsidRPr="00247366">
        <w:rPr>
          <w:rFonts w:ascii="Arial" w:eastAsia="Times New Roman" w:hAnsi="Arial" w:cs="Arial"/>
          <w:color w:val="333333"/>
          <w:sz w:val="24"/>
          <w:szCs w:val="24"/>
          <w:u w:val="single"/>
          <w:lang w:eastAsia="es-VE"/>
        </w:rPr>
        <w:t>3.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 </w:t>
      </w:r>
      <w:r w:rsidR="004834F4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Declaro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 </w:t>
      </w:r>
      <w:r w:rsidR="004834F4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determinantes 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que la realización de donaciones del tipo de artículos especifica</w:t>
      </w:r>
      <w:r w:rsidR="004834F4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dos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 en la sección 203 (b) (2) de IEEPA (50 USC 1702 (b) (2)) por, </w:t>
      </w:r>
      <w:r w:rsidR="004834F4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par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a, o en ben</w:t>
      </w:r>
      <w:r w:rsidR="004834F4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eficio de cualquier persona cuyos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 bienes e intereses en propiedad están bloqueados de conformidad con el artículo 1 de esta or</w:t>
      </w:r>
      <w:r w:rsidR="004834F4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den puede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n menoscabar seriamente mi capacidad para hacer frente a la emergencia n</w:t>
      </w:r>
      <w:r w:rsidR="004834F4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acional declarada por este decreto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, y </w:t>
      </w:r>
      <w:r w:rsidR="004834F4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declaro prohibido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 este tipo de donaciones </w:t>
      </w:r>
      <w:r w:rsidR="004834F4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previstas en el artículo 1 de este decreto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.</w:t>
      </w:r>
    </w:p>
    <w:p w:rsidR="00400E57" w:rsidRPr="00247366" w:rsidRDefault="00400E57" w:rsidP="0024736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VE"/>
        </w:rPr>
      </w:pPr>
    </w:p>
    <w:p w:rsidR="00247366" w:rsidRDefault="00247366" w:rsidP="0024736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VE"/>
        </w:rPr>
      </w:pPr>
      <w:r w:rsidRPr="00247366">
        <w:rPr>
          <w:rFonts w:ascii="Arial" w:eastAsia="Times New Roman" w:hAnsi="Arial" w:cs="Arial"/>
          <w:color w:val="333333"/>
          <w:sz w:val="24"/>
          <w:szCs w:val="24"/>
          <w:u w:val="single"/>
          <w:lang w:eastAsia="es-VE"/>
        </w:rPr>
        <w:t>Sec.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 . </w:t>
      </w:r>
      <w:r w:rsidRPr="00247366">
        <w:rPr>
          <w:rFonts w:ascii="Arial" w:eastAsia="Times New Roman" w:hAnsi="Arial" w:cs="Arial"/>
          <w:color w:val="333333"/>
          <w:sz w:val="24"/>
          <w:szCs w:val="24"/>
          <w:u w:val="single"/>
          <w:lang w:eastAsia="es-VE"/>
        </w:rPr>
        <w:t>4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 Las prohibiciones establecidas en</w:t>
      </w:r>
      <w:r w:rsidR="004834F4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 el artículo 1 de este decreto incluye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 pero no </w:t>
      </w:r>
      <w:r w:rsidR="004834F4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está limitado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 a:</w:t>
      </w:r>
    </w:p>
    <w:p w:rsidR="00400E57" w:rsidRPr="00247366" w:rsidRDefault="00400E57" w:rsidP="0024736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VE"/>
        </w:rPr>
      </w:pPr>
    </w:p>
    <w:p w:rsidR="00247366" w:rsidRDefault="00247366" w:rsidP="0024736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VE"/>
        </w:rPr>
      </w:pP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(A) la realización de cualquier contribución o provisión de fondos, bienes o servicios por parte de, </w:t>
      </w:r>
      <w:r w:rsidR="004834F4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par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a, o en beneficio de cualquier persona cuyos bienes e intereses en propiedad están bloqueados e</w:t>
      </w:r>
      <w:r w:rsidR="004834F4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n virtud de este decreto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; y</w:t>
      </w:r>
    </w:p>
    <w:p w:rsidR="00400E57" w:rsidRPr="00247366" w:rsidRDefault="00400E57" w:rsidP="0024736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VE"/>
        </w:rPr>
      </w:pPr>
    </w:p>
    <w:p w:rsidR="00247366" w:rsidRPr="00247366" w:rsidRDefault="00247366" w:rsidP="0024736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VE"/>
        </w:rPr>
      </w:pP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(B) la aceptación de contribuciones o la provisión de fondos, bienes o servicios de cualquier</w:t>
      </w:r>
      <w:r w:rsidR="00482BD4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a de estas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 persona</w:t>
      </w:r>
      <w:r w:rsidR="00482BD4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s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.</w:t>
      </w:r>
    </w:p>
    <w:p w:rsidR="00247366" w:rsidRDefault="00247366" w:rsidP="0024736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VE"/>
        </w:rPr>
      </w:pPr>
      <w:r w:rsidRPr="00247366">
        <w:rPr>
          <w:rFonts w:ascii="Arial" w:eastAsia="Times New Roman" w:hAnsi="Arial" w:cs="Arial"/>
          <w:color w:val="333333"/>
          <w:sz w:val="24"/>
          <w:szCs w:val="24"/>
          <w:u w:val="single"/>
          <w:lang w:eastAsia="es-VE"/>
        </w:rPr>
        <w:lastRenderedPageBreak/>
        <w:t>Sec.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 </w:t>
      </w:r>
      <w:r w:rsidRPr="00247366">
        <w:rPr>
          <w:rFonts w:ascii="Arial" w:eastAsia="Times New Roman" w:hAnsi="Arial" w:cs="Arial"/>
          <w:color w:val="333333"/>
          <w:sz w:val="24"/>
          <w:szCs w:val="24"/>
          <w:u w:val="single"/>
          <w:lang w:eastAsia="es-VE"/>
        </w:rPr>
        <w:t>5.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 (A)</w:t>
      </w:r>
      <w:r w:rsidR="00482BD4" w:rsidRPr="00482BD4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 </w:t>
      </w:r>
      <w:r w:rsidR="00482BD4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E</w:t>
      </w:r>
      <w:r w:rsidR="00482BD4"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stá</w:t>
      </w:r>
      <w:r w:rsidR="00482BD4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 prohibida cualquier transacción que evada o evite, tenga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 el propó</w:t>
      </w:r>
      <w:r w:rsidR="00482BD4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sito de evadir o evitar, cause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 una violación de, o trate d</w:t>
      </w:r>
      <w:r w:rsidR="00482BD4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e violar cualquiera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 de las pr</w:t>
      </w:r>
      <w:r w:rsidR="00482BD4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ohibiciones establecidas en este decreto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.</w:t>
      </w:r>
    </w:p>
    <w:p w:rsidR="00400E57" w:rsidRPr="00247366" w:rsidRDefault="00400E57" w:rsidP="0024736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VE"/>
        </w:rPr>
      </w:pPr>
    </w:p>
    <w:p w:rsidR="00247366" w:rsidRDefault="00247366" w:rsidP="0024736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VE"/>
        </w:rPr>
      </w:pP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(B) </w:t>
      </w:r>
      <w:r w:rsidR="00482BD4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Está prohibida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 cualquier conspiración </w:t>
      </w:r>
      <w:r w:rsidR="00482BD4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organizada para violar cualquiera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 de las pr</w:t>
      </w:r>
      <w:r w:rsidR="00482BD4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ohibiciones establecidas en este decreto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.</w:t>
      </w:r>
    </w:p>
    <w:p w:rsidR="00400E57" w:rsidRPr="00247366" w:rsidRDefault="00400E57" w:rsidP="0024736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VE"/>
        </w:rPr>
      </w:pPr>
    </w:p>
    <w:p w:rsidR="00247366" w:rsidRDefault="00247366" w:rsidP="0024736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VE"/>
        </w:rPr>
      </w:pPr>
      <w:r w:rsidRPr="00247366">
        <w:rPr>
          <w:rFonts w:ascii="Arial" w:eastAsia="Times New Roman" w:hAnsi="Arial" w:cs="Arial"/>
          <w:color w:val="333333"/>
          <w:sz w:val="24"/>
          <w:szCs w:val="24"/>
          <w:u w:val="single"/>
          <w:lang w:eastAsia="es-VE"/>
        </w:rPr>
        <w:t>Sec.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 </w:t>
      </w:r>
      <w:r w:rsidRPr="00247366">
        <w:rPr>
          <w:rFonts w:ascii="Arial" w:eastAsia="Times New Roman" w:hAnsi="Arial" w:cs="Arial"/>
          <w:color w:val="333333"/>
          <w:sz w:val="24"/>
          <w:szCs w:val="24"/>
          <w:u w:val="single"/>
          <w:lang w:eastAsia="es-VE"/>
        </w:rPr>
        <w:t>6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 </w:t>
      </w:r>
      <w:r w:rsidR="00482BD4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A los efectos de este </w:t>
      </w:r>
      <w:proofErr w:type="gramStart"/>
      <w:r w:rsidR="00482BD4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decreto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.:</w:t>
      </w:r>
      <w:proofErr w:type="gramEnd"/>
    </w:p>
    <w:p w:rsidR="00400E57" w:rsidRPr="00247366" w:rsidRDefault="00400E57" w:rsidP="0024736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VE"/>
        </w:rPr>
      </w:pPr>
    </w:p>
    <w:p w:rsidR="00247366" w:rsidRPr="00400E57" w:rsidRDefault="00247366" w:rsidP="00400E5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VE"/>
        </w:rPr>
      </w:pPr>
      <w:r w:rsidRPr="00400E57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el término "persona" significa una persona o entidad;</w:t>
      </w:r>
    </w:p>
    <w:p w:rsidR="00400E57" w:rsidRPr="00400E57" w:rsidRDefault="00400E57" w:rsidP="00400E57">
      <w:pPr>
        <w:pStyle w:val="Prrafodelista"/>
        <w:spacing w:after="0" w:line="240" w:lineRule="auto"/>
        <w:ind w:left="735"/>
        <w:jc w:val="both"/>
        <w:rPr>
          <w:rFonts w:ascii="Arial" w:eastAsia="Times New Roman" w:hAnsi="Arial" w:cs="Arial"/>
          <w:color w:val="333333"/>
          <w:sz w:val="24"/>
          <w:szCs w:val="24"/>
          <w:lang w:eastAsia="es-VE"/>
        </w:rPr>
      </w:pPr>
    </w:p>
    <w:p w:rsidR="00247366" w:rsidRPr="00400E57" w:rsidRDefault="00247366" w:rsidP="00400E5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VE"/>
        </w:rPr>
      </w:pPr>
      <w:r w:rsidRPr="00400E57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el término "entidad": una sociedad, asociación, </w:t>
      </w:r>
      <w:proofErr w:type="spellStart"/>
      <w:r w:rsidR="00482BD4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fonfo</w:t>
      </w:r>
      <w:proofErr w:type="spellEnd"/>
      <w:r w:rsidRPr="00400E57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, empresa conjunta, sociedad, grupo, subgrupo, u otra organización;</w:t>
      </w:r>
    </w:p>
    <w:p w:rsidR="00400E57" w:rsidRPr="00400E57" w:rsidRDefault="00400E57" w:rsidP="00400E5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VE"/>
        </w:rPr>
      </w:pPr>
    </w:p>
    <w:p w:rsidR="00247366" w:rsidRPr="00400E57" w:rsidRDefault="00247366" w:rsidP="00400E5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VE"/>
        </w:rPr>
      </w:pPr>
      <w:r w:rsidRPr="00400E57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el término "persona de Estados Unidos", cualquier ciudadano de los Estados Unidos, residente permanente, entidad constituida conforme a las leyes de los Estados Unidos o cualquier jurisdicción dentro de los Estados Unidos (incluyendo sucursales en el extranjero), o cualquier persona en los Estados Unidos;</w:t>
      </w:r>
    </w:p>
    <w:p w:rsidR="00400E57" w:rsidRPr="00400E57" w:rsidRDefault="00400E57" w:rsidP="00400E57">
      <w:pPr>
        <w:pStyle w:val="Prrafodelista"/>
        <w:rPr>
          <w:rFonts w:ascii="Arial" w:eastAsia="Times New Roman" w:hAnsi="Arial" w:cs="Arial"/>
          <w:color w:val="333333"/>
          <w:sz w:val="24"/>
          <w:szCs w:val="24"/>
          <w:lang w:eastAsia="es-VE"/>
        </w:rPr>
      </w:pPr>
    </w:p>
    <w:p w:rsidR="00400E57" w:rsidRPr="00400E57" w:rsidRDefault="00400E57" w:rsidP="00400E57">
      <w:pPr>
        <w:pStyle w:val="Prrafodelista"/>
        <w:spacing w:after="0" w:line="240" w:lineRule="auto"/>
        <w:ind w:left="735"/>
        <w:jc w:val="both"/>
        <w:rPr>
          <w:rFonts w:ascii="Arial" w:eastAsia="Times New Roman" w:hAnsi="Arial" w:cs="Arial"/>
          <w:color w:val="333333"/>
          <w:sz w:val="24"/>
          <w:szCs w:val="24"/>
          <w:lang w:eastAsia="es-VE"/>
        </w:rPr>
      </w:pPr>
    </w:p>
    <w:p w:rsidR="00247366" w:rsidRPr="00400E57" w:rsidRDefault="00247366" w:rsidP="00400E5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VE"/>
        </w:rPr>
      </w:pPr>
      <w:r w:rsidRPr="00400E57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el término "Gobierno de Venezuela" significa el Gobierno de Venezuela, cualquier subdivisión polí</w:t>
      </w:r>
      <w:r w:rsidR="00482BD4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tica, agencia o instrumentos</w:t>
      </w:r>
      <w:r w:rsidRPr="00400E57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 del mismo, incluido el Banco Central de Venezuela, y cualquier persona qu</w:t>
      </w:r>
      <w:r w:rsidR="00361B30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e posee o controla, o que actúe en nombre del</w:t>
      </w:r>
      <w:r w:rsidRPr="00400E57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 Gobierno de Venezuela.</w:t>
      </w:r>
    </w:p>
    <w:p w:rsidR="00400E57" w:rsidRDefault="00400E57" w:rsidP="00400E57">
      <w:pPr>
        <w:pStyle w:val="Prrafodelista"/>
        <w:spacing w:after="0" w:line="240" w:lineRule="auto"/>
        <w:ind w:left="735"/>
        <w:jc w:val="both"/>
        <w:rPr>
          <w:rFonts w:ascii="Arial" w:eastAsia="Times New Roman" w:hAnsi="Arial" w:cs="Arial"/>
          <w:color w:val="333333"/>
          <w:sz w:val="24"/>
          <w:szCs w:val="24"/>
          <w:lang w:eastAsia="es-VE"/>
        </w:rPr>
      </w:pPr>
    </w:p>
    <w:p w:rsidR="00400E57" w:rsidRPr="00400E57" w:rsidRDefault="00400E57" w:rsidP="00400E57">
      <w:pPr>
        <w:pStyle w:val="Prrafodelista"/>
        <w:spacing w:after="0" w:line="240" w:lineRule="auto"/>
        <w:ind w:left="735"/>
        <w:jc w:val="both"/>
        <w:rPr>
          <w:rFonts w:ascii="Arial" w:eastAsia="Times New Roman" w:hAnsi="Arial" w:cs="Arial"/>
          <w:color w:val="333333"/>
          <w:sz w:val="24"/>
          <w:szCs w:val="24"/>
          <w:lang w:eastAsia="es-VE"/>
        </w:rPr>
      </w:pPr>
    </w:p>
    <w:p w:rsidR="00247366" w:rsidRDefault="00247366" w:rsidP="0024736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VE"/>
        </w:rPr>
      </w:pPr>
      <w:r w:rsidRPr="00247366">
        <w:rPr>
          <w:rFonts w:ascii="Arial" w:eastAsia="Times New Roman" w:hAnsi="Arial" w:cs="Arial"/>
          <w:color w:val="333333"/>
          <w:sz w:val="24"/>
          <w:szCs w:val="24"/>
          <w:u w:val="single"/>
          <w:lang w:eastAsia="es-VE"/>
        </w:rPr>
        <w:t>Sec.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 </w:t>
      </w:r>
      <w:r w:rsidRPr="00247366">
        <w:rPr>
          <w:rFonts w:ascii="Arial" w:eastAsia="Times New Roman" w:hAnsi="Arial" w:cs="Arial"/>
          <w:color w:val="333333"/>
          <w:sz w:val="24"/>
          <w:szCs w:val="24"/>
          <w:u w:val="single"/>
          <w:lang w:eastAsia="es-VE"/>
        </w:rPr>
        <w:t>7.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 Para aquellas personas cuyos bienes e intereses de propiedad est</w:t>
      </w:r>
      <w:r w:rsidR="00361B30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án bloqueados en virtud de este decreto, que pudieran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 tener una presencia constitucional en los Estados Unidos, </w:t>
      </w:r>
      <w:r w:rsidR="00361B30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encuentro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 que, debido a la capacidad de transferir fondos u otros acti</w:t>
      </w:r>
      <w:r w:rsidR="00361B30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vos de forma instantánea, una notificación previa 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a dichas personas de las medidas </w:t>
      </w:r>
      <w:r w:rsidR="00361B30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tomadas, en virtud de este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 </w:t>
      </w:r>
      <w:r w:rsidR="00361B30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decreto, 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 </w:t>
      </w:r>
      <w:r w:rsidR="00361B30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harían estas medidas ineficaces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. Por lo tanto, determino que para que estas medidas sean eficaces para hacer frente a la emergencia nacional declarada </w:t>
      </w:r>
      <w:r w:rsidR="00361B30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en 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este </w:t>
      </w:r>
      <w:r w:rsidR="00361B30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decreto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, no </w:t>
      </w:r>
      <w:r w:rsidR="00361B30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es necesaria la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 notificación previa de una lista o de la determinación formulada c</w:t>
      </w:r>
      <w:r w:rsidR="00361B30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on arreglo al artículo 1 de este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 </w:t>
      </w:r>
      <w:r w:rsidR="00361B30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decreto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.</w:t>
      </w:r>
    </w:p>
    <w:p w:rsidR="00400E57" w:rsidRPr="00247366" w:rsidRDefault="00400E57" w:rsidP="0024736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VE"/>
        </w:rPr>
      </w:pPr>
    </w:p>
    <w:p w:rsidR="00247366" w:rsidRDefault="00247366" w:rsidP="0024736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VE"/>
        </w:rPr>
      </w:pPr>
      <w:r w:rsidRPr="00247366">
        <w:rPr>
          <w:rFonts w:ascii="Arial" w:eastAsia="Times New Roman" w:hAnsi="Arial" w:cs="Arial"/>
          <w:color w:val="333333"/>
          <w:sz w:val="24"/>
          <w:szCs w:val="24"/>
          <w:u w:val="single"/>
          <w:lang w:eastAsia="es-VE"/>
        </w:rPr>
        <w:t>Sec.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 </w:t>
      </w:r>
      <w:r w:rsidRPr="00247366">
        <w:rPr>
          <w:rFonts w:ascii="Arial" w:eastAsia="Times New Roman" w:hAnsi="Arial" w:cs="Arial"/>
          <w:color w:val="333333"/>
          <w:sz w:val="24"/>
          <w:szCs w:val="24"/>
          <w:u w:val="single"/>
          <w:lang w:eastAsia="es-VE"/>
        </w:rPr>
        <w:t>8.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 El Secretario de Hacienda, en consulta con el Secretario de Estado, queda autorizado para tomar este tipo de acciones, incluyendo la promulgación de normas y reglamentos, y emplear todas las facultades otorgadas al Presidente por IEEPA y 4</w:t>
      </w:r>
    </w:p>
    <w:p w:rsidR="00361B30" w:rsidRPr="00247366" w:rsidRDefault="00361B30" w:rsidP="0024736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VE"/>
        </w:rPr>
      </w:pPr>
    </w:p>
    <w:p w:rsidR="00247366" w:rsidRDefault="00247366" w:rsidP="0024736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VE"/>
        </w:rPr>
      </w:pPr>
      <w:proofErr w:type="gramStart"/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el</w:t>
      </w:r>
      <w:proofErr w:type="gramEnd"/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 artículo 5 de la Ley </w:t>
      </w:r>
      <w:r w:rsidR="008F71E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para la Defensa de los Derechos Humanos en Venezuela</w:t>
      </w:r>
      <w:r w:rsidR="00361B30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 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, aparte de las autoridades que figuran en las secciones 5 (b) (1) (B) y 5 (c) de dicha Ley, que sean necesarios para llev</w:t>
      </w:r>
      <w:r w:rsidR="008F71E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ar a cabo los propósitos de este decreto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, con la e</w:t>
      </w:r>
      <w:r w:rsidR="008F71E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xcepción de la sección 2 de este decreto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, así como las disposiciones pertinentes de la sección 5 de la citada Ley. El Secretario de Hacienda podrá </w:t>
      </w:r>
      <w:r w:rsidR="00B01C83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delegar cualquiera de es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as funciones a otros funcionarios y organismos del Gobierno de los Estados Unidos de conformidad con la ley aplicable. Todas las agencias del Gobierno de los Estados Unidos </w:t>
      </w:r>
      <w:r w:rsidR="00B01C83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tienen la orden o están autorizadas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 a tomar todas las medidas apropiadas dentro de su autoridad para ll</w:t>
      </w:r>
      <w:r w:rsidR="00B01C83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evar a cabo lo dispuesto en este decreto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.</w:t>
      </w:r>
    </w:p>
    <w:p w:rsidR="00400E57" w:rsidRPr="00247366" w:rsidRDefault="00400E57" w:rsidP="0024736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VE"/>
        </w:rPr>
      </w:pPr>
    </w:p>
    <w:p w:rsidR="00247366" w:rsidRDefault="00247366" w:rsidP="0024736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VE"/>
        </w:rPr>
      </w:pPr>
      <w:r w:rsidRPr="00247366">
        <w:rPr>
          <w:rFonts w:ascii="Arial" w:eastAsia="Times New Roman" w:hAnsi="Arial" w:cs="Arial"/>
          <w:color w:val="333333"/>
          <w:sz w:val="24"/>
          <w:szCs w:val="24"/>
          <w:u w:val="single"/>
          <w:lang w:eastAsia="es-VE"/>
        </w:rPr>
        <w:t>Sec.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 </w:t>
      </w:r>
      <w:r w:rsidRPr="00247366">
        <w:rPr>
          <w:rFonts w:ascii="Arial" w:eastAsia="Times New Roman" w:hAnsi="Arial" w:cs="Arial"/>
          <w:color w:val="333333"/>
          <w:sz w:val="24"/>
          <w:szCs w:val="24"/>
          <w:u w:val="single"/>
          <w:lang w:eastAsia="es-VE"/>
        </w:rPr>
        <w:t>9.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 El Secretario de Estado queda autorizado para tomar este tipo de acciones, incluyendo la promulgación de normas y reglamentos, y emplear todas las facultades otorgadas al President</w:t>
      </w:r>
      <w:r w:rsidR="00B01C83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e por IEEPA, el INA y el artículo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 5 de la</w:t>
      </w:r>
      <w:r w:rsidR="00B01C83" w:rsidRPr="00B01C83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 </w:t>
      </w:r>
      <w:r w:rsidR="00B01C83"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Ley </w:t>
      </w:r>
      <w:r w:rsidR="00B01C83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para la Defensa de los Derechos Humanos en Venezuela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, incluyendo las 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lastRenderedPageBreak/>
        <w:t xml:space="preserve">autoridades </w:t>
      </w:r>
      <w:r w:rsidR="00B01C83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establecidas 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en los apartados 5 (b) (1) (B), 5 (c) y 5 (d) de dicha ley, que sean necesarias para llevar a cabo la sección 2 </w:t>
      </w:r>
      <w:r w:rsidR="00B01C83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del presente decreto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 y las disposiciones pertinentes de la sección 5 de dicha Ley. El Secretario de Estado puede </w:t>
      </w:r>
      <w:r w:rsidR="00B01C83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delegar cualquiera de es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as funciones a otros funcionarios y organismos del Gobierno de los Estados Unidos de conformidad con la ley aplicable.</w:t>
      </w:r>
    </w:p>
    <w:p w:rsidR="00400E57" w:rsidRPr="00247366" w:rsidRDefault="00400E57" w:rsidP="0024736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VE"/>
        </w:rPr>
      </w:pPr>
    </w:p>
    <w:p w:rsidR="00247366" w:rsidRDefault="00247366" w:rsidP="0024736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VE"/>
        </w:rPr>
      </w:pPr>
      <w:r w:rsidRPr="00247366">
        <w:rPr>
          <w:rFonts w:ascii="Arial" w:eastAsia="Times New Roman" w:hAnsi="Arial" w:cs="Arial"/>
          <w:color w:val="333333"/>
          <w:sz w:val="24"/>
          <w:szCs w:val="24"/>
          <w:u w:val="single"/>
          <w:lang w:eastAsia="es-VE"/>
        </w:rPr>
        <w:t>Sec.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 </w:t>
      </w:r>
      <w:r w:rsidRPr="00247366">
        <w:rPr>
          <w:rFonts w:ascii="Arial" w:eastAsia="Times New Roman" w:hAnsi="Arial" w:cs="Arial"/>
          <w:color w:val="333333"/>
          <w:sz w:val="24"/>
          <w:szCs w:val="24"/>
          <w:u w:val="single"/>
          <w:lang w:eastAsia="es-VE"/>
        </w:rPr>
        <w:t>10.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 El Secretario de Hacienda, en consulta con el Secretario de Estado, queda autorizado para determinar que las circunstancias no justifican el bloqueo de los bienes e intereses en propiedad de una persona que figura en</w:t>
      </w:r>
      <w:r w:rsidR="00B01C83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 una lista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 </w:t>
      </w:r>
      <w:r w:rsidR="00B01C83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en el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 anexo </w:t>
      </w:r>
      <w:r w:rsidR="00B01C83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de este decreto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, y </w:t>
      </w:r>
      <w:r w:rsidR="00B01C83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tomar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 </w:t>
      </w:r>
      <w:r w:rsidR="00B01C83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las acciones 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para </w:t>
      </w:r>
      <w:r w:rsidR="00B01C83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hacer efectiva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 </w:t>
      </w:r>
      <w:r w:rsidR="00B01C83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esta decisión.</w:t>
      </w:r>
    </w:p>
    <w:p w:rsidR="00400E57" w:rsidRPr="00247366" w:rsidRDefault="00400E57" w:rsidP="0024736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VE"/>
        </w:rPr>
      </w:pPr>
    </w:p>
    <w:p w:rsidR="00247366" w:rsidRDefault="00247366" w:rsidP="0024736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VE"/>
        </w:rPr>
      </w:pPr>
      <w:r w:rsidRPr="00247366">
        <w:rPr>
          <w:rFonts w:ascii="Arial" w:eastAsia="Times New Roman" w:hAnsi="Arial" w:cs="Arial"/>
          <w:color w:val="333333"/>
          <w:sz w:val="24"/>
          <w:szCs w:val="24"/>
          <w:u w:val="single"/>
          <w:lang w:eastAsia="es-VE"/>
        </w:rPr>
        <w:t>Sec.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 </w:t>
      </w:r>
      <w:r w:rsidRPr="00247366">
        <w:rPr>
          <w:rFonts w:ascii="Arial" w:eastAsia="Times New Roman" w:hAnsi="Arial" w:cs="Arial"/>
          <w:color w:val="333333"/>
          <w:sz w:val="24"/>
          <w:szCs w:val="24"/>
          <w:u w:val="single"/>
          <w:lang w:eastAsia="es-VE"/>
        </w:rPr>
        <w:t>11.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 El Secretario de Hacienda, en consulta con el Secretario de Estado, queda autorizado para presentar los informes periódicos y</w:t>
      </w:r>
      <w:r w:rsidR="00B01C83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 el informe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 final al Congreso sobre la situación de emergencia nacional declarada por este </w:t>
      </w:r>
      <w:r w:rsidR="00B01C83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decreto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, de acuerdo con la sección 401 (c) de la NEA (50 USC 1641 (c)) y la sección 204 (c) de IEEPA (50 USC 1703 (c)).</w:t>
      </w:r>
    </w:p>
    <w:p w:rsidR="00400E57" w:rsidRPr="00247366" w:rsidRDefault="00400E57" w:rsidP="0024736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VE"/>
        </w:rPr>
      </w:pPr>
    </w:p>
    <w:p w:rsidR="00247366" w:rsidRDefault="00247366" w:rsidP="0024736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VE"/>
        </w:rPr>
      </w:pPr>
      <w:r w:rsidRPr="00247366">
        <w:rPr>
          <w:rFonts w:ascii="Arial" w:eastAsia="Times New Roman" w:hAnsi="Arial" w:cs="Arial"/>
          <w:color w:val="333333"/>
          <w:sz w:val="24"/>
          <w:szCs w:val="24"/>
          <w:u w:val="single"/>
          <w:lang w:eastAsia="es-VE"/>
        </w:rPr>
        <w:t>Sec.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 </w:t>
      </w:r>
      <w:r w:rsidRPr="00247366">
        <w:rPr>
          <w:rFonts w:ascii="Arial" w:eastAsia="Times New Roman" w:hAnsi="Arial" w:cs="Arial"/>
          <w:color w:val="333333"/>
          <w:sz w:val="24"/>
          <w:szCs w:val="24"/>
          <w:u w:val="single"/>
          <w:lang w:eastAsia="es-VE"/>
        </w:rPr>
        <w:t>12.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 </w:t>
      </w:r>
      <w:r w:rsidR="00B01C83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Este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 </w:t>
      </w:r>
      <w:r w:rsidR="00B01C83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decreto no pretende, y no, crea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 ningún derecho o beneficio, sustantivo o procesal, ejecutable en derecho o en equidad por cualquiera de las partes en contra de Estados Unidos, sus departamentos, organismos o entidades, sus funcionarios, empleados, o agentes, o cualquier otra persona.</w:t>
      </w:r>
    </w:p>
    <w:p w:rsidR="00400E57" w:rsidRPr="00247366" w:rsidRDefault="00400E57" w:rsidP="0024736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VE"/>
        </w:rPr>
      </w:pPr>
    </w:p>
    <w:p w:rsidR="00247366" w:rsidRDefault="00247366" w:rsidP="0024736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VE"/>
        </w:rPr>
      </w:pPr>
      <w:r w:rsidRPr="00247366">
        <w:rPr>
          <w:rFonts w:ascii="Arial" w:eastAsia="Times New Roman" w:hAnsi="Arial" w:cs="Arial"/>
          <w:color w:val="333333"/>
          <w:sz w:val="24"/>
          <w:szCs w:val="24"/>
          <w:u w:val="single"/>
          <w:lang w:eastAsia="es-VE"/>
        </w:rPr>
        <w:t>Sec.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 </w:t>
      </w:r>
      <w:r w:rsidRPr="00247366">
        <w:rPr>
          <w:rFonts w:ascii="Arial" w:eastAsia="Times New Roman" w:hAnsi="Arial" w:cs="Arial"/>
          <w:color w:val="333333"/>
          <w:sz w:val="24"/>
          <w:szCs w:val="24"/>
          <w:u w:val="single"/>
          <w:lang w:eastAsia="es-VE"/>
        </w:rPr>
        <w:t>13.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 </w:t>
      </w:r>
      <w:r w:rsidR="00B01C83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Este decreto es efectivo</w:t>
      </w: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 xml:space="preserve"> a las 12:01 am, hora de verano del este el 9 de marzo de 2015.</w:t>
      </w:r>
    </w:p>
    <w:p w:rsidR="00B01C83" w:rsidRPr="00247366" w:rsidRDefault="00B01C83" w:rsidP="0024736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VE"/>
        </w:rPr>
      </w:pPr>
    </w:p>
    <w:p w:rsidR="00247366" w:rsidRPr="00247366" w:rsidRDefault="00247366" w:rsidP="00B01C8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es-VE"/>
        </w:rPr>
      </w:pPr>
      <w:r w:rsidRPr="00247366">
        <w:rPr>
          <w:rFonts w:ascii="Arial" w:eastAsia="Times New Roman" w:hAnsi="Arial" w:cs="Arial"/>
          <w:color w:val="333333"/>
          <w:sz w:val="24"/>
          <w:szCs w:val="24"/>
          <w:lang w:eastAsia="es-VE"/>
        </w:rPr>
        <w:t>BARACK OBAMA</w:t>
      </w:r>
    </w:p>
    <w:p w:rsidR="00247366" w:rsidRPr="00247366" w:rsidRDefault="00247366" w:rsidP="00B01C83">
      <w:pPr>
        <w:pStyle w:val="HTMLconformatoprevio"/>
        <w:spacing w:line="0" w:lineRule="atLeast"/>
        <w:jc w:val="center"/>
        <w:rPr>
          <w:rFonts w:ascii="Arial" w:hAnsi="Arial" w:cs="Arial"/>
          <w:color w:val="212121"/>
          <w:sz w:val="24"/>
          <w:szCs w:val="24"/>
        </w:rPr>
      </w:pPr>
    </w:p>
    <w:p w:rsidR="00313539" w:rsidRDefault="00313539" w:rsidP="00247366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313539" w:rsidRPr="00313539" w:rsidRDefault="00313539" w:rsidP="00313539"/>
    <w:p w:rsidR="00313539" w:rsidRPr="00313539" w:rsidRDefault="00313539" w:rsidP="00313539"/>
    <w:p w:rsidR="00313539" w:rsidRPr="00313539" w:rsidRDefault="00313539" w:rsidP="00313539"/>
    <w:p w:rsidR="00313539" w:rsidRPr="00313539" w:rsidRDefault="00313539" w:rsidP="00313539"/>
    <w:p w:rsidR="00313539" w:rsidRPr="00313539" w:rsidRDefault="00313539" w:rsidP="00313539"/>
    <w:p w:rsidR="00313539" w:rsidRPr="00313539" w:rsidRDefault="00313539" w:rsidP="00313539"/>
    <w:p w:rsidR="00313539" w:rsidRPr="00313539" w:rsidRDefault="00313539" w:rsidP="00313539"/>
    <w:p w:rsidR="00313539" w:rsidRDefault="00313539" w:rsidP="00313539"/>
    <w:p w:rsidR="00E87C36" w:rsidRPr="00313539" w:rsidRDefault="00E87C36" w:rsidP="00313539"/>
    <w:sectPr w:rsidR="00E87C36" w:rsidRPr="00313539" w:rsidSect="00DE1AD4">
      <w:pgSz w:w="12242" w:h="18722" w:code="344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4DBB"/>
    <w:multiLevelType w:val="hybridMultilevel"/>
    <w:tmpl w:val="DC761C18"/>
    <w:lvl w:ilvl="0" w:tplc="5B1CAE08">
      <w:start w:val="1"/>
      <w:numFmt w:val="decimal"/>
      <w:lvlText w:val="(%1)"/>
      <w:lvlJc w:val="left"/>
      <w:pPr>
        <w:ind w:left="1543" w:hanging="435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2188" w:hanging="360"/>
      </w:pPr>
    </w:lvl>
    <w:lvl w:ilvl="2" w:tplc="200A001B" w:tentative="1">
      <w:start w:val="1"/>
      <w:numFmt w:val="lowerRoman"/>
      <w:lvlText w:val="%3."/>
      <w:lvlJc w:val="right"/>
      <w:pPr>
        <w:ind w:left="2908" w:hanging="180"/>
      </w:pPr>
    </w:lvl>
    <w:lvl w:ilvl="3" w:tplc="200A000F" w:tentative="1">
      <w:start w:val="1"/>
      <w:numFmt w:val="decimal"/>
      <w:lvlText w:val="%4."/>
      <w:lvlJc w:val="left"/>
      <w:pPr>
        <w:ind w:left="3628" w:hanging="360"/>
      </w:pPr>
    </w:lvl>
    <w:lvl w:ilvl="4" w:tplc="200A0019" w:tentative="1">
      <w:start w:val="1"/>
      <w:numFmt w:val="lowerLetter"/>
      <w:lvlText w:val="%5."/>
      <w:lvlJc w:val="left"/>
      <w:pPr>
        <w:ind w:left="4348" w:hanging="360"/>
      </w:pPr>
    </w:lvl>
    <w:lvl w:ilvl="5" w:tplc="200A001B" w:tentative="1">
      <w:start w:val="1"/>
      <w:numFmt w:val="lowerRoman"/>
      <w:lvlText w:val="%6."/>
      <w:lvlJc w:val="right"/>
      <w:pPr>
        <w:ind w:left="5068" w:hanging="180"/>
      </w:pPr>
    </w:lvl>
    <w:lvl w:ilvl="6" w:tplc="200A000F" w:tentative="1">
      <w:start w:val="1"/>
      <w:numFmt w:val="decimal"/>
      <w:lvlText w:val="%7."/>
      <w:lvlJc w:val="left"/>
      <w:pPr>
        <w:ind w:left="5788" w:hanging="360"/>
      </w:pPr>
    </w:lvl>
    <w:lvl w:ilvl="7" w:tplc="200A0019" w:tentative="1">
      <w:start w:val="1"/>
      <w:numFmt w:val="lowerLetter"/>
      <w:lvlText w:val="%8."/>
      <w:lvlJc w:val="left"/>
      <w:pPr>
        <w:ind w:left="6508" w:hanging="360"/>
      </w:pPr>
    </w:lvl>
    <w:lvl w:ilvl="8" w:tplc="200A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">
    <w:nsid w:val="07D53373"/>
    <w:multiLevelType w:val="hybridMultilevel"/>
    <w:tmpl w:val="E6C00140"/>
    <w:lvl w:ilvl="0" w:tplc="264E00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12121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25438"/>
    <w:multiLevelType w:val="hybridMultilevel"/>
    <w:tmpl w:val="671C21C2"/>
    <w:lvl w:ilvl="0" w:tplc="C656447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C95F81"/>
    <w:multiLevelType w:val="hybridMultilevel"/>
    <w:tmpl w:val="16E483A0"/>
    <w:lvl w:ilvl="0" w:tplc="78224958">
      <w:start w:val="1"/>
      <w:numFmt w:val="upperLetter"/>
      <w:lvlText w:val="(%1)"/>
      <w:lvlJc w:val="left"/>
      <w:pPr>
        <w:ind w:left="735" w:hanging="375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F3CEE"/>
    <w:multiLevelType w:val="hybridMultilevel"/>
    <w:tmpl w:val="1A048B90"/>
    <w:lvl w:ilvl="0" w:tplc="BC7C75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01793"/>
    <w:multiLevelType w:val="hybridMultilevel"/>
    <w:tmpl w:val="A1AEFD9E"/>
    <w:lvl w:ilvl="0" w:tplc="F3BC0F56">
      <w:start w:val="1"/>
      <w:numFmt w:val="upperLetter"/>
      <w:lvlText w:val="(%1)"/>
      <w:lvlJc w:val="left"/>
      <w:pPr>
        <w:ind w:left="1603" w:hanging="495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2188" w:hanging="360"/>
      </w:pPr>
    </w:lvl>
    <w:lvl w:ilvl="2" w:tplc="200A001B" w:tentative="1">
      <w:start w:val="1"/>
      <w:numFmt w:val="lowerRoman"/>
      <w:lvlText w:val="%3."/>
      <w:lvlJc w:val="right"/>
      <w:pPr>
        <w:ind w:left="2908" w:hanging="180"/>
      </w:pPr>
    </w:lvl>
    <w:lvl w:ilvl="3" w:tplc="200A000F" w:tentative="1">
      <w:start w:val="1"/>
      <w:numFmt w:val="decimal"/>
      <w:lvlText w:val="%4."/>
      <w:lvlJc w:val="left"/>
      <w:pPr>
        <w:ind w:left="3628" w:hanging="360"/>
      </w:pPr>
    </w:lvl>
    <w:lvl w:ilvl="4" w:tplc="200A0019" w:tentative="1">
      <w:start w:val="1"/>
      <w:numFmt w:val="lowerLetter"/>
      <w:lvlText w:val="%5."/>
      <w:lvlJc w:val="left"/>
      <w:pPr>
        <w:ind w:left="4348" w:hanging="360"/>
      </w:pPr>
    </w:lvl>
    <w:lvl w:ilvl="5" w:tplc="200A001B" w:tentative="1">
      <w:start w:val="1"/>
      <w:numFmt w:val="lowerRoman"/>
      <w:lvlText w:val="%6."/>
      <w:lvlJc w:val="right"/>
      <w:pPr>
        <w:ind w:left="5068" w:hanging="180"/>
      </w:pPr>
    </w:lvl>
    <w:lvl w:ilvl="6" w:tplc="200A000F" w:tentative="1">
      <w:start w:val="1"/>
      <w:numFmt w:val="decimal"/>
      <w:lvlText w:val="%7."/>
      <w:lvlJc w:val="left"/>
      <w:pPr>
        <w:ind w:left="5788" w:hanging="360"/>
      </w:pPr>
    </w:lvl>
    <w:lvl w:ilvl="7" w:tplc="200A0019" w:tentative="1">
      <w:start w:val="1"/>
      <w:numFmt w:val="lowerLetter"/>
      <w:lvlText w:val="%8."/>
      <w:lvlJc w:val="left"/>
      <w:pPr>
        <w:ind w:left="6508" w:hanging="360"/>
      </w:pPr>
    </w:lvl>
    <w:lvl w:ilvl="8" w:tplc="200A001B" w:tentative="1">
      <w:start w:val="1"/>
      <w:numFmt w:val="lowerRoman"/>
      <w:lvlText w:val="%9."/>
      <w:lvlJc w:val="right"/>
      <w:pPr>
        <w:ind w:left="722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87C36"/>
    <w:rsid w:val="000759A7"/>
    <w:rsid w:val="00090127"/>
    <w:rsid w:val="000906AA"/>
    <w:rsid w:val="000C36E9"/>
    <w:rsid w:val="000E4A80"/>
    <w:rsid w:val="000E702A"/>
    <w:rsid w:val="000F4B32"/>
    <w:rsid w:val="000F5D3D"/>
    <w:rsid w:val="00130D9D"/>
    <w:rsid w:val="00133FBC"/>
    <w:rsid w:val="00141AD4"/>
    <w:rsid w:val="00150417"/>
    <w:rsid w:val="001C0A8E"/>
    <w:rsid w:val="002120D1"/>
    <w:rsid w:val="00247366"/>
    <w:rsid w:val="002707F3"/>
    <w:rsid w:val="002829CC"/>
    <w:rsid w:val="00286BCA"/>
    <w:rsid w:val="002C45C7"/>
    <w:rsid w:val="002C550B"/>
    <w:rsid w:val="002D5AC6"/>
    <w:rsid w:val="00313539"/>
    <w:rsid w:val="00331396"/>
    <w:rsid w:val="00341B35"/>
    <w:rsid w:val="00361B30"/>
    <w:rsid w:val="00400E57"/>
    <w:rsid w:val="0040262E"/>
    <w:rsid w:val="004105E7"/>
    <w:rsid w:val="004213FE"/>
    <w:rsid w:val="004340DD"/>
    <w:rsid w:val="00467AB8"/>
    <w:rsid w:val="00482BD4"/>
    <w:rsid w:val="004834F4"/>
    <w:rsid w:val="00486DDF"/>
    <w:rsid w:val="004A141B"/>
    <w:rsid w:val="004B5BBD"/>
    <w:rsid w:val="004C6FCC"/>
    <w:rsid w:val="004D13EE"/>
    <w:rsid w:val="004D6180"/>
    <w:rsid w:val="005173F2"/>
    <w:rsid w:val="00523CE8"/>
    <w:rsid w:val="0053693C"/>
    <w:rsid w:val="00575A40"/>
    <w:rsid w:val="0058223D"/>
    <w:rsid w:val="005E0F94"/>
    <w:rsid w:val="00622F6E"/>
    <w:rsid w:val="006273BF"/>
    <w:rsid w:val="00633137"/>
    <w:rsid w:val="0067743B"/>
    <w:rsid w:val="006B790A"/>
    <w:rsid w:val="0075280E"/>
    <w:rsid w:val="007720F4"/>
    <w:rsid w:val="007808D8"/>
    <w:rsid w:val="00786160"/>
    <w:rsid w:val="007F0663"/>
    <w:rsid w:val="00870D24"/>
    <w:rsid w:val="00890A1C"/>
    <w:rsid w:val="008D69C0"/>
    <w:rsid w:val="008F71E6"/>
    <w:rsid w:val="009639FA"/>
    <w:rsid w:val="0098569E"/>
    <w:rsid w:val="009912D9"/>
    <w:rsid w:val="00997D4B"/>
    <w:rsid w:val="009A44EB"/>
    <w:rsid w:val="009C7ECE"/>
    <w:rsid w:val="009D6CBB"/>
    <w:rsid w:val="009F1213"/>
    <w:rsid w:val="00A25A0F"/>
    <w:rsid w:val="00A301BB"/>
    <w:rsid w:val="00A91F4B"/>
    <w:rsid w:val="00B01C83"/>
    <w:rsid w:val="00B40225"/>
    <w:rsid w:val="00B42788"/>
    <w:rsid w:val="00B65669"/>
    <w:rsid w:val="00B73DDF"/>
    <w:rsid w:val="00BA1F84"/>
    <w:rsid w:val="00BD22EA"/>
    <w:rsid w:val="00BE1057"/>
    <w:rsid w:val="00BE4EA4"/>
    <w:rsid w:val="00C2623F"/>
    <w:rsid w:val="00C41EB7"/>
    <w:rsid w:val="00C4496F"/>
    <w:rsid w:val="00C7721B"/>
    <w:rsid w:val="00CC1B43"/>
    <w:rsid w:val="00CD0D38"/>
    <w:rsid w:val="00D00F82"/>
    <w:rsid w:val="00D12348"/>
    <w:rsid w:val="00D13CFC"/>
    <w:rsid w:val="00D154E9"/>
    <w:rsid w:val="00DC3454"/>
    <w:rsid w:val="00DD0625"/>
    <w:rsid w:val="00DE1AD4"/>
    <w:rsid w:val="00E300AF"/>
    <w:rsid w:val="00E423C0"/>
    <w:rsid w:val="00E5761A"/>
    <w:rsid w:val="00E6382C"/>
    <w:rsid w:val="00E87C36"/>
    <w:rsid w:val="00ED0B2B"/>
    <w:rsid w:val="00F17DF9"/>
    <w:rsid w:val="00F22896"/>
    <w:rsid w:val="00F34595"/>
    <w:rsid w:val="00F520DF"/>
    <w:rsid w:val="00F66872"/>
    <w:rsid w:val="00FD1CDA"/>
    <w:rsid w:val="00FD75F2"/>
    <w:rsid w:val="00FF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D9D"/>
  </w:style>
  <w:style w:type="paragraph" w:styleId="Ttulo1">
    <w:name w:val="heading 1"/>
    <w:basedOn w:val="Normal"/>
    <w:link w:val="Ttulo1Car"/>
    <w:uiPriority w:val="9"/>
    <w:qFormat/>
    <w:rsid w:val="002473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87C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V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87C36"/>
    <w:rPr>
      <w:rFonts w:ascii="Courier New" w:eastAsia="Times New Roman" w:hAnsi="Courier New" w:cs="Courier New"/>
      <w:sz w:val="20"/>
      <w:szCs w:val="20"/>
      <w:lang w:eastAsia="es-VE"/>
    </w:rPr>
  </w:style>
  <w:style w:type="paragraph" w:styleId="Prrafodelista">
    <w:name w:val="List Paragraph"/>
    <w:basedOn w:val="Normal"/>
    <w:uiPriority w:val="34"/>
    <w:qFormat/>
    <w:rsid w:val="00E87C3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47366"/>
    <w:rPr>
      <w:rFonts w:ascii="Times New Roman" w:eastAsia="Times New Roman" w:hAnsi="Times New Roman" w:cs="Times New Roman"/>
      <w:b/>
      <w:bCs/>
      <w:kern w:val="36"/>
      <w:sz w:val="48"/>
      <w:szCs w:val="48"/>
      <w:lang w:eastAsia="es-VE"/>
    </w:rPr>
  </w:style>
  <w:style w:type="character" w:customStyle="1" w:styleId="notranslate">
    <w:name w:val="notranslate"/>
    <w:basedOn w:val="Fuentedeprrafopredeter"/>
    <w:rsid w:val="00247366"/>
  </w:style>
  <w:style w:type="paragraph" w:customStyle="1" w:styleId="rtecenter">
    <w:name w:val="rtecenter"/>
    <w:basedOn w:val="Normal"/>
    <w:rsid w:val="0024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styleId="NormalWeb">
    <w:name w:val="Normal (Web)"/>
    <w:basedOn w:val="Normal"/>
    <w:uiPriority w:val="99"/>
    <w:semiHidden/>
    <w:unhideWhenUsed/>
    <w:rsid w:val="0024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customStyle="1" w:styleId="apple-converted-space">
    <w:name w:val="apple-converted-space"/>
    <w:basedOn w:val="Fuentedeprrafopredeter"/>
    <w:rsid w:val="00247366"/>
  </w:style>
  <w:style w:type="paragraph" w:customStyle="1" w:styleId="rteindent1">
    <w:name w:val="rteindent1"/>
    <w:basedOn w:val="Normal"/>
    <w:rsid w:val="0024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customStyle="1" w:styleId="rteindent2">
    <w:name w:val="rteindent2"/>
    <w:basedOn w:val="Normal"/>
    <w:rsid w:val="0024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1630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Supremo de Justicia</Company>
  <LinksUpToDate>false</LinksUpToDate>
  <CharactersWithSpaces>10578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gnava01</dc:creator>
  <cp:lastModifiedBy>oalvar01</cp:lastModifiedBy>
  <cp:revision>2</cp:revision>
  <cp:lastPrinted>2015-03-09T20:17:00Z</cp:lastPrinted>
  <dcterms:created xsi:type="dcterms:W3CDTF">2015-03-09T20:40:00Z</dcterms:created>
  <dcterms:modified xsi:type="dcterms:W3CDTF">2015-03-09T20:40:00Z</dcterms:modified>
</cp:coreProperties>
</file>